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C5AB5" w:rsidR="001C5AB5" w:rsidP="001C5AB5" w:rsidRDefault="001C5AB5" w14:paraId="cc8da48" w14:textId="cc8da48">
      <w:pPr>
        <w:tabs>
          <w:tab w:val="center" w:pos="4536"/>
          <w:tab w:val="right" w:pos="9072"/>
        </w:tabs>
        <w:spacing w:after="0" w:line="240" w:lineRule="auto"/>
        <w15:collapsed w:val="false"/>
        <w:rPr>
          <w:rFonts w:eastAsia="Times New Roman" w:cs="Arial"/>
          <w:color w:val="000000"/>
          <w:szCs w:val="24"/>
          <w:lang w:eastAsia="hr-HR"/>
        </w:rPr>
      </w:pPr>
      <w:bookmarkStart w:name="_GoBack" w:id="0"/>
      <w:bookmarkEnd w:id="0"/>
      <w:r w:rsidRPr="001C5AB5">
        <w:rPr>
          <w:rFonts w:eastAsia="Times New Roman" w:cs="Arial"/>
          <w:color w:val="000000"/>
          <w:szCs w:val="24"/>
          <w:lang w:eastAsia="hr-HR"/>
        </w:rPr>
        <w:t xml:space="preserve">REPUBLIKA HRVATSKA </w:t>
      </w:r>
      <w:r w:rsidRPr="001C5AB5">
        <w:rPr>
          <w:rFonts w:eastAsia="Times New Roman" w:cs="Arial"/>
          <w:color w:val="000000"/>
          <w:szCs w:val="24"/>
          <w:lang w:eastAsia="hr-HR"/>
        </w:rPr>
        <w:tab/>
      </w:r>
      <w:r w:rsidRPr="001C5AB5">
        <w:rPr>
          <w:rFonts w:eastAsia="Times New Roman" w:cs="Arial"/>
          <w:color w:val="000000"/>
          <w:szCs w:val="24"/>
          <w:lang w:eastAsia="hr-HR"/>
        </w:rPr>
        <w:tab/>
      </w:r>
    </w:p>
    <w:p w:rsidRPr="001C5AB5" w:rsidR="001C5AB5" w:rsidP="001C5AB5" w:rsidRDefault="001C5AB5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1C5AB5">
        <w:rPr>
          <w:rFonts w:eastAsia="Times New Roman" w:cs="Arial"/>
          <w:color w:val="000000"/>
          <w:szCs w:val="24"/>
          <w:lang w:eastAsia="hr-HR"/>
        </w:rPr>
        <w:t>TRGOVAČKI SUD U PAZINU</w:t>
      </w:r>
      <w:r w:rsidRPr="001C5AB5">
        <w:rPr>
          <w:rFonts w:eastAsia="Times New Roman" w:cs="Arial"/>
          <w:color w:val="000000"/>
          <w:szCs w:val="24"/>
          <w:lang w:eastAsia="hr-HR"/>
        </w:rPr>
        <w:tab/>
      </w:r>
    </w:p>
    <w:p w:rsidRPr="001C5AB5" w:rsidR="001C5AB5" w:rsidP="001C5AB5" w:rsidRDefault="001C5AB5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1C5AB5">
        <w:rPr>
          <w:rFonts w:eastAsia="Times New Roman" w:cs="Arial"/>
          <w:color w:val="000000"/>
          <w:szCs w:val="24"/>
          <w:lang w:eastAsia="hr-HR"/>
        </w:rPr>
        <w:tab/>
      </w:r>
      <w:r w:rsidRPr="001C5AB5">
        <w:rPr>
          <w:rFonts w:eastAsia="Times New Roman" w:cs="Arial"/>
          <w:color w:val="000000"/>
          <w:szCs w:val="24"/>
          <w:lang w:eastAsia="hr-HR"/>
        </w:rPr>
        <w:tab/>
      </w:r>
      <w:r w:rsidRPr="001C5AB5">
        <w:rPr>
          <w:rFonts w:eastAsia="Times New Roman" w:cs="Arial"/>
          <w:color w:val="000000"/>
          <w:szCs w:val="24"/>
          <w:lang w:eastAsia="hr-HR"/>
        </w:rPr>
        <w:tab/>
      </w:r>
      <w:r w:rsidRPr="001C5AB5">
        <w:rPr>
          <w:rFonts w:eastAsia="Times New Roman" w:cs="Arial"/>
          <w:color w:val="000000"/>
          <w:szCs w:val="24"/>
          <w:lang w:eastAsia="hr-HR"/>
        </w:rPr>
        <w:tab/>
      </w:r>
      <w:r w:rsidRPr="001C5AB5">
        <w:rPr>
          <w:rFonts w:eastAsia="Times New Roman" w:cs="Arial"/>
          <w:color w:val="000000"/>
          <w:szCs w:val="24"/>
          <w:lang w:eastAsia="hr-HR"/>
        </w:rPr>
        <w:tab/>
      </w:r>
    </w:p>
    <w:p w:rsidRPr="001C5AB5" w:rsidR="001C5AB5" w:rsidP="001C5AB5" w:rsidRDefault="001C5AB5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1C5AB5" w:rsidR="001C5AB5" w:rsidP="00673D16" w:rsidRDefault="00673D16">
      <w:pPr>
        <w:spacing w:after="0" w:line="240" w:lineRule="auto"/>
        <w:ind w:left="6372" w:firstLine="708"/>
        <w:jc w:val="center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color w:val="000000"/>
          <w:szCs w:val="24"/>
          <w:lang w:eastAsia="hr-HR"/>
        </w:rPr>
        <w:t xml:space="preserve">       </w:t>
      </w:r>
      <w:r w:rsidR="001C5AB5">
        <w:rPr>
          <w:rFonts w:eastAsia="Times New Roman" w:cs="Arial"/>
          <w:color w:val="000000"/>
          <w:szCs w:val="24"/>
          <w:lang w:eastAsia="hr-HR"/>
        </w:rPr>
        <w:t>St-29</w:t>
      </w:r>
      <w:r w:rsidRPr="001C5AB5" w:rsidR="001C5AB5">
        <w:rPr>
          <w:rFonts w:eastAsia="Times New Roman" w:cs="Arial"/>
          <w:color w:val="000000"/>
          <w:szCs w:val="24"/>
          <w:lang w:eastAsia="hr-HR"/>
        </w:rPr>
        <w:t>/</w:t>
      </w:r>
      <w:r w:rsidRPr="001C5AB5" w:rsidR="001C5AB5">
        <w:rPr>
          <w:rFonts w:eastAsia="Times New Roman" w:cs="Arial"/>
          <w:szCs w:val="24"/>
          <w:lang w:eastAsia="hr-HR"/>
        </w:rPr>
        <w:t>202</w:t>
      </w:r>
      <w:r w:rsidR="001C5AB5">
        <w:rPr>
          <w:rFonts w:eastAsia="Times New Roman" w:cs="Arial"/>
          <w:szCs w:val="24"/>
          <w:lang w:eastAsia="hr-HR"/>
        </w:rPr>
        <w:t>4</w:t>
      </w:r>
      <w:r w:rsidRPr="001C5AB5" w:rsidR="001C5AB5">
        <w:rPr>
          <w:rFonts w:eastAsia="Times New Roman" w:cs="Arial"/>
          <w:szCs w:val="24"/>
          <w:lang w:eastAsia="hr-HR"/>
        </w:rPr>
        <w:t>-</w:t>
      </w:r>
      <w:r>
        <w:rPr>
          <w:rFonts w:eastAsia="Times New Roman" w:cs="Arial"/>
          <w:szCs w:val="24"/>
          <w:lang w:eastAsia="hr-HR"/>
        </w:rPr>
        <w:t>8</w:t>
      </w:r>
      <w:r w:rsidR="00055277">
        <w:rPr>
          <w:rFonts w:eastAsia="Times New Roman" w:cs="Arial"/>
          <w:szCs w:val="24"/>
          <w:lang w:eastAsia="hr-HR"/>
        </w:rPr>
        <w:t>4</w:t>
      </w:r>
    </w:p>
    <w:p w:rsidR="001C5AB5" w:rsidP="001C5AB5" w:rsidRDefault="001C5AB5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1C5AB5" w:rsidR="00B2013F" w:rsidP="001C5AB5" w:rsidRDefault="00B2013F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1C5AB5" w:rsidR="001C5AB5" w:rsidP="001C5AB5" w:rsidRDefault="001C5AB5">
      <w:pPr>
        <w:spacing w:after="0" w:line="240" w:lineRule="auto"/>
        <w:jc w:val="center"/>
        <w:rPr>
          <w:rFonts w:eastAsia="Times New Roman" w:cs="Arial"/>
          <w:color w:val="000000"/>
          <w:szCs w:val="24"/>
          <w:lang w:eastAsia="hr-HR"/>
        </w:rPr>
      </w:pPr>
      <w:r w:rsidRPr="001C5AB5">
        <w:rPr>
          <w:rFonts w:eastAsia="Times New Roman" w:cs="Arial"/>
          <w:color w:val="000000"/>
          <w:szCs w:val="24"/>
          <w:lang w:eastAsia="hr-HR"/>
        </w:rPr>
        <w:t>Z A P I S N I K</w:t>
      </w:r>
    </w:p>
    <w:p w:rsidRPr="001C5AB5" w:rsidR="001C5AB5" w:rsidP="001C5AB5" w:rsidRDefault="001C5AB5">
      <w:pPr>
        <w:spacing w:after="0" w:line="240" w:lineRule="auto"/>
        <w:jc w:val="center"/>
        <w:rPr>
          <w:rFonts w:eastAsia="Times New Roman" w:cs="Arial"/>
          <w:color w:val="000000"/>
          <w:szCs w:val="24"/>
          <w:lang w:eastAsia="hr-HR"/>
        </w:rPr>
      </w:pPr>
    </w:p>
    <w:p w:rsidRPr="001C5AB5" w:rsidR="001C5AB5" w:rsidP="001C5AB5" w:rsidRDefault="001C5AB5">
      <w:pPr>
        <w:spacing w:after="0" w:line="240" w:lineRule="auto"/>
        <w:ind w:left="2124" w:firstLine="708"/>
        <w:rPr>
          <w:rFonts w:eastAsia="Times New Roman" w:cs="Arial"/>
          <w:color w:val="000000"/>
          <w:szCs w:val="24"/>
          <w:lang w:eastAsia="hr-HR"/>
        </w:rPr>
      </w:pPr>
      <w:r w:rsidRPr="001C5AB5">
        <w:rPr>
          <w:rFonts w:eastAsia="Times New Roman" w:cs="Arial"/>
          <w:szCs w:val="24"/>
          <w:lang w:eastAsia="hr-HR"/>
        </w:rPr>
        <w:t xml:space="preserve">  sa ročišta za diobu kupovnine </w:t>
      </w:r>
      <w:r w:rsidRPr="001C5AB5">
        <w:rPr>
          <w:rFonts w:eastAsia="Times New Roman" w:cs="Arial"/>
          <w:color w:val="000000"/>
          <w:szCs w:val="24"/>
          <w:lang w:eastAsia="hr-HR"/>
        </w:rPr>
        <w:t>za</w:t>
      </w:r>
    </w:p>
    <w:p w:rsidRPr="001C5AB5" w:rsidR="001C5AB5" w:rsidP="001C5AB5" w:rsidRDefault="001C5AB5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motornu jahtu</w:t>
      </w:r>
      <w:r w:rsidRPr="00AA1E35">
        <w:rPr>
          <w:rFonts w:eastAsia="Times New Roman" w:cs="Arial"/>
          <w:szCs w:val="24"/>
          <w:lang w:eastAsia="hr-HR"/>
        </w:rPr>
        <w:t xml:space="preserve"> naziva Lola II, bruto tonaže 67,12 BT, pozivni znak 9AA</w:t>
      </w:r>
      <w:r>
        <w:rPr>
          <w:rFonts w:eastAsia="Times New Roman" w:cs="Arial"/>
          <w:szCs w:val="24"/>
          <w:lang w:eastAsia="hr-HR"/>
        </w:rPr>
        <w:t>6785, MMSI: 238 937 040, upisanu</w:t>
      </w:r>
      <w:r w:rsidRPr="00AA1E35">
        <w:rPr>
          <w:rFonts w:eastAsia="Times New Roman" w:cs="Arial"/>
          <w:szCs w:val="24"/>
          <w:lang w:eastAsia="hr-HR"/>
        </w:rPr>
        <w:t xml:space="preserve"> u ulošku broj 1Y-364, glavna knj</w:t>
      </w:r>
      <w:r>
        <w:rPr>
          <w:rFonts w:eastAsia="Times New Roman" w:cs="Arial"/>
          <w:szCs w:val="24"/>
          <w:lang w:eastAsia="hr-HR"/>
        </w:rPr>
        <w:t>iga upisnika jahti VIII, upisanu</w:t>
      </w:r>
      <w:r w:rsidRPr="00AA1E35">
        <w:rPr>
          <w:rFonts w:eastAsia="Times New Roman" w:cs="Arial"/>
          <w:szCs w:val="24"/>
          <w:lang w:eastAsia="hr-HR"/>
        </w:rPr>
        <w:t xml:space="preserve"> u upisni list jahti Lučke kapetanije Pula, KLASA: 342-14/11-01/92, urbroj: 530-03-01-03/</w:t>
      </w:r>
      <w:r>
        <w:rPr>
          <w:rFonts w:eastAsia="Times New Roman" w:cs="Arial"/>
          <w:szCs w:val="24"/>
          <w:lang w:eastAsia="hr-HR"/>
        </w:rPr>
        <w:t>2-11-2, DUB br: 91/11 (opožarenu</w:t>
      </w:r>
      <w:r w:rsidRPr="00AA1E35">
        <w:rPr>
          <w:rFonts w:eastAsia="Times New Roman" w:cs="Arial"/>
          <w:szCs w:val="24"/>
          <w:lang w:eastAsia="hr-HR"/>
        </w:rPr>
        <w:t xml:space="preserve"> u požaru koji se dogodio tijekom noći 14./15. svibnja 2024. na privezištu u Medulinu)</w:t>
      </w:r>
      <w:r w:rsidRPr="001C5AB5">
        <w:rPr>
          <w:rFonts w:eastAsia="Times New Roman" w:cs="Arial"/>
          <w:color w:val="000000"/>
          <w:szCs w:val="24"/>
          <w:lang w:eastAsia="hr-HR"/>
        </w:rPr>
        <w:t>,</w:t>
      </w:r>
    </w:p>
    <w:p w:rsidRPr="001C5AB5" w:rsidR="001C5AB5" w:rsidP="001C5AB5" w:rsidRDefault="001C5AB5">
      <w:pPr>
        <w:spacing w:after="0" w:line="240" w:lineRule="auto"/>
        <w:ind w:firstLine="708"/>
        <w:jc w:val="center"/>
        <w:rPr>
          <w:rFonts w:eastAsia="Times New Roman" w:cs="Arial"/>
          <w:szCs w:val="24"/>
          <w:lang w:eastAsia="hr-HR"/>
        </w:rPr>
      </w:pPr>
      <w:r w:rsidRPr="001C5AB5">
        <w:rPr>
          <w:rFonts w:eastAsia="Times New Roman" w:cs="Arial"/>
          <w:color w:val="000000"/>
          <w:szCs w:val="24"/>
          <w:lang w:eastAsia="hr-HR"/>
        </w:rPr>
        <w:t>sastavljen kod Trgovačkog suda u Pazinu, Pazin, Dršćevka 1,</w:t>
      </w:r>
    </w:p>
    <w:p w:rsidRPr="001C5AB5" w:rsidR="001C5AB5" w:rsidP="001C5AB5" w:rsidRDefault="001C5AB5">
      <w:pPr>
        <w:spacing w:after="0" w:line="240" w:lineRule="auto"/>
        <w:jc w:val="center"/>
        <w:rPr>
          <w:rFonts w:eastAsia="Times New Roman" w:cs="Arial"/>
          <w:color w:val="000000"/>
          <w:szCs w:val="24"/>
          <w:lang w:eastAsia="hr-HR"/>
        </w:rPr>
      </w:pPr>
      <w:r w:rsidRPr="001C5AB5">
        <w:rPr>
          <w:rFonts w:eastAsia="Times New Roman" w:cs="Arial"/>
          <w:color w:val="000000"/>
          <w:szCs w:val="24"/>
          <w:lang w:eastAsia="hr-HR"/>
        </w:rPr>
        <w:t xml:space="preserve">u stečajnom postupku nad </w:t>
      </w:r>
      <w:r w:rsidRPr="00C77A11">
        <w:rPr>
          <w:rFonts w:eastAsia="Times New Roman" w:cs="Arial"/>
          <w:szCs w:val="24"/>
          <w:lang w:eastAsia="hr-HR"/>
        </w:rPr>
        <w:t>Stečajnom masom iza APEX NAVIS d.o.o. u stečaju, Zagreb, Lupoglavska ulica 3, OIB: 25665183089</w:t>
      </w:r>
      <w:r w:rsidRPr="001C5AB5">
        <w:rPr>
          <w:rFonts w:eastAsia="Times New Roman" w:cs="Arial"/>
          <w:color w:val="000000"/>
          <w:szCs w:val="24"/>
          <w:lang w:eastAsia="hr-HR"/>
        </w:rPr>
        <w:t>,</w:t>
      </w:r>
    </w:p>
    <w:p w:rsidRPr="001C5AB5" w:rsidR="001C5AB5" w:rsidP="001C5AB5" w:rsidRDefault="001C5AB5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1C5AB5">
        <w:rPr>
          <w:rFonts w:eastAsia="Times New Roman" w:cs="Arial"/>
          <w:szCs w:val="24"/>
          <w:lang w:eastAsia="hr-HR"/>
        </w:rPr>
        <w:t>održanog 1. srpnja 2025.</w:t>
      </w:r>
    </w:p>
    <w:p w:rsidRPr="001C5AB5" w:rsidR="001C5AB5" w:rsidP="001C5AB5" w:rsidRDefault="001C5AB5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="00B2013F" w:rsidP="001C5AB5" w:rsidRDefault="00B2013F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1C5AB5" w:rsidR="001C5AB5" w:rsidP="001C5AB5" w:rsidRDefault="001C5AB5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1C5AB5">
        <w:rPr>
          <w:rFonts w:eastAsia="Times New Roman" w:cs="Arial"/>
          <w:color w:val="000000"/>
          <w:szCs w:val="24"/>
          <w:lang w:eastAsia="hr-HR"/>
        </w:rPr>
        <w:t>OD SUDA NAZOČNI:</w:t>
      </w:r>
    </w:p>
    <w:p w:rsidRPr="001C5AB5" w:rsidR="001C5AB5" w:rsidP="001C5AB5" w:rsidRDefault="001C5AB5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1C5AB5">
        <w:rPr>
          <w:rFonts w:eastAsia="Times New Roman" w:cs="Arial"/>
          <w:color w:val="000000"/>
          <w:szCs w:val="24"/>
          <w:lang w:eastAsia="hr-HR"/>
        </w:rPr>
        <w:t xml:space="preserve">Adrijana Labinjan Skok, sutkinja </w:t>
      </w:r>
    </w:p>
    <w:p w:rsidRPr="001C5AB5" w:rsidR="001C5AB5" w:rsidP="001C5AB5" w:rsidRDefault="001C5AB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1C5AB5">
        <w:rPr>
          <w:rFonts w:eastAsia="Times New Roman" w:cs="Arial"/>
          <w:szCs w:val="24"/>
          <w:lang w:eastAsia="hr-HR"/>
        </w:rPr>
        <w:t>Jasmina Matika, zapisničarka</w:t>
      </w:r>
    </w:p>
    <w:p w:rsidRPr="001C5AB5" w:rsidR="001C5AB5" w:rsidP="001C5AB5" w:rsidRDefault="001C5AB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1C5AB5" w:rsidR="001C5AB5" w:rsidP="001C5AB5" w:rsidRDefault="001C5AB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1C5AB5">
        <w:rPr>
          <w:rFonts w:eastAsia="Times New Roman" w:cs="Arial"/>
          <w:szCs w:val="24"/>
          <w:lang w:eastAsia="hr-HR"/>
        </w:rPr>
        <w:t xml:space="preserve">Utvrđuje se da su pristupili: </w:t>
      </w:r>
    </w:p>
    <w:p w:rsidRPr="001C5AB5" w:rsidR="001C5AB5" w:rsidP="001C5AB5" w:rsidRDefault="001C5AB5">
      <w:pPr>
        <w:spacing w:after="0" w:line="240" w:lineRule="auto"/>
        <w:rPr>
          <w:rFonts w:eastAsia="Times New Roman" w:cs="Arial"/>
          <w:b/>
          <w:szCs w:val="24"/>
          <w:lang w:eastAsia="hr-HR"/>
        </w:rPr>
      </w:pPr>
      <w:r w:rsidRPr="001C5AB5">
        <w:rPr>
          <w:rFonts w:eastAsia="Times New Roman" w:cs="Arial"/>
          <w:szCs w:val="24"/>
          <w:lang w:eastAsia="hr-HR"/>
        </w:rPr>
        <w:t xml:space="preserve">- stečajni upravitelj </w:t>
      </w:r>
      <w:r>
        <w:rPr>
          <w:rFonts w:eastAsia="Times New Roman" w:cs="Arial"/>
          <w:color w:val="000000"/>
          <w:szCs w:val="24"/>
          <w:lang w:eastAsia="hr-HR"/>
        </w:rPr>
        <w:t>Valentin Jakovac</w:t>
      </w:r>
    </w:p>
    <w:p w:rsidR="00B2013F" w:rsidP="001C5AB5" w:rsidRDefault="001C5AB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1C5AB5">
        <w:rPr>
          <w:rFonts w:eastAsia="Times New Roman" w:cs="Arial"/>
          <w:szCs w:val="24"/>
          <w:lang w:eastAsia="hr-HR"/>
        </w:rPr>
        <w:t xml:space="preserve">- </w:t>
      </w:r>
      <w:r w:rsidR="00B2013F">
        <w:rPr>
          <w:rFonts w:eastAsia="Times New Roman" w:cs="Arial"/>
          <w:szCs w:val="24"/>
          <w:lang w:eastAsia="hr-HR"/>
        </w:rPr>
        <w:t xml:space="preserve">za razlučnog vjerovnika FLACH TOURS d.o.o., zamjenica pun. Slavica Milevoj, </w:t>
      </w:r>
    </w:p>
    <w:p w:rsidRPr="001C5AB5" w:rsidR="001C5AB5" w:rsidP="001C5AB5" w:rsidRDefault="00B2013F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  odvjetnica iz Pule, zamjeničku punomoć prilaže</w:t>
      </w:r>
    </w:p>
    <w:p w:rsidRPr="001C5AB5" w:rsidR="001C5AB5" w:rsidP="001C5AB5" w:rsidRDefault="001C5AB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1C5AB5" w:rsidR="001C5AB5" w:rsidP="001C5AB5" w:rsidRDefault="001C5AB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1C5AB5" w:rsidR="001C5AB5" w:rsidP="001C5AB5" w:rsidRDefault="001C5AB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1C5AB5">
        <w:rPr>
          <w:rFonts w:eastAsia="Times New Roman" w:cs="Arial"/>
          <w:szCs w:val="24"/>
          <w:lang w:eastAsia="hr-HR"/>
        </w:rPr>
        <w:t>Početak u 10:00 sati. Ročište je javno.</w:t>
      </w:r>
    </w:p>
    <w:p w:rsidR="001C5AB5" w:rsidP="001C5AB5" w:rsidRDefault="001C5AB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1C5AB5" w:rsidR="002074DB" w:rsidP="001C5AB5" w:rsidRDefault="002074DB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="001C5AB5" w:rsidP="001C5AB5" w:rsidRDefault="00B2013F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ab/>
        <w:t>Za jahtu navedenu u uvodu postignuta je cijena od 7.500,00 eura.</w:t>
      </w:r>
    </w:p>
    <w:p w:rsidR="00B2013F" w:rsidP="001C5AB5" w:rsidRDefault="00B2013F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="00B2013F" w:rsidP="001C5AB5" w:rsidRDefault="00B2013F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ab/>
        <w:t>Stečajni upravitelj je dostavio obračun troškova i to sudskih troškova koji se odnose na trošak provedbe javne dražbe putem Financijske agencije u iznosu od 371,60 eura te nagradu stečajnom upravitelju u iznosu od 1.290,07 eura kao i obračun ostalih troškova koji se namiruju razmjerno raspoloživim sredstvima u ukupnom iznosu od 5.838,33 eura a odnose se na trošak procjene jahte, trošak revizije nakon požara, usluge knjigovodstva, obilaska brodice po ugovoru o djelu, putnih troškova stečajnog upravitelja te trošak otvaranja i vođenja računa, kako je specificirano u objavljenom obračunu.</w:t>
      </w:r>
    </w:p>
    <w:p w:rsidR="00B2013F" w:rsidP="001C5AB5" w:rsidRDefault="00B2013F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="00B2013F" w:rsidP="001C5AB5" w:rsidRDefault="00B2013F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ab/>
        <w:t>Stečajni upravitelj izjavljuje da ustraje kod obračuna troškova kojeg je dostavio u spis.</w:t>
      </w:r>
    </w:p>
    <w:p w:rsidR="00B2013F" w:rsidP="001C5AB5" w:rsidRDefault="00B2013F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1C5AB5" w:rsidR="00B2013F" w:rsidP="001C5AB5" w:rsidRDefault="00B2013F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ab/>
        <w:t>Zamjenica pun. razlučnog vjerovnika</w:t>
      </w:r>
      <w:r w:rsidRPr="00B2013F">
        <w:rPr>
          <w:rFonts w:eastAsia="Times New Roman" w:cs="Arial"/>
          <w:szCs w:val="24"/>
          <w:lang w:eastAsia="hr-HR"/>
        </w:rPr>
        <w:t xml:space="preserve"> </w:t>
      </w:r>
      <w:r>
        <w:rPr>
          <w:rFonts w:eastAsia="Times New Roman" w:cs="Arial"/>
          <w:szCs w:val="24"/>
          <w:lang w:eastAsia="hr-HR"/>
        </w:rPr>
        <w:t>izjavljuje da nema ništa za izjaviti.</w:t>
      </w:r>
    </w:p>
    <w:p w:rsidRPr="001C5AB5" w:rsidR="001C5AB5" w:rsidP="001C5AB5" w:rsidRDefault="001C5AB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1C5AB5" w:rsidR="001C5AB5" w:rsidP="001C5AB5" w:rsidRDefault="001C5AB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1C5AB5" w:rsidR="001C5AB5" w:rsidP="001C5AB5" w:rsidRDefault="001C5AB5">
      <w:pPr>
        <w:spacing w:after="0" w:line="240" w:lineRule="atLeast"/>
        <w:jc w:val="both"/>
        <w:rPr>
          <w:rFonts w:eastAsia="Times New Roman" w:cs="Arial"/>
          <w:color w:val="000000"/>
          <w:szCs w:val="24"/>
          <w:lang w:eastAsia="hr-HR"/>
        </w:rPr>
      </w:pPr>
      <w:r w:rsidRPr="001C5AB5">
        <w:rPr>
          <w:rFonts w:eastAsia="Times New Roman" w:cs="Arial"/>
          <w:color w:val="000000"/>
          <w:szCs w:val="24"/>
          <w:lang w:eastAsia="hr-HR"/>
        </w:rPr>
        <w:tab/>
        <w:t>Sutkinja donosi</w:t>
      </w:r>
    </w:p>
    <w:p w:rsidRPr="001C5AB5" w:rsidR="001C5AB5" w:rsidP="001C5AB5" w:rsidRDefault="001C5AB5">
      <w:pPr>
        <w:spacing w:after="0" w:line="240" w:lineRule="atLeast"/>
        <w:jc w:val="center"/>
        <w:rPr>
          <w:rFonts w:eastAsia="Times New Roman" w:cs="Arial"/>
          <w:color w:val="000000"/>
          <w:szCs w:val="24"/>
          <w:lang w:eastAsia="hr-HR"/>
        </w:rPr>
      </w:pPr>
      <w:r w:rsidRPr="001C5AB5">
        <w:rPr>
          <w:rFonts w:eastAsia="Times New Roman" w:cs="Arial"/>
          <w:color w:val="000000"/>
          <w:szCs w:val="24"/>
          <w:lang w:eastAsia="hr-HR"/>
        </w:rPr>
        <w:t>r j e š e nj e</w:t>
      </w:r>
    </w:p>
    <w:p w:rsidRPr="001C5AB5" w:rsidR="001C5AB5" w:rsidP="001C5AB5" w:rsidRDefault="001C5AB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B2013F" w:rsidR="001C5AB5" w:rsidP="001C5AB5" w:rsidRDefault="00B2013F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  <w:r w:rsidRPr="00B2013F">
        <w:rPr>
          <w:rFonts w:eastAsia="Times New Roman" w:cs="Arial"/>
          <w:szCs w:val="24"/>
          <w:lang w:eastAsia="hr-HR"/>
        </w:rPr>
        <w:tab/>
        <w:t>Odluka će biti donesena u pisanom obliku.</w:t>
      </w:r>
    </w:p>
    <w:p w:rsidRPr="00B2013F" w:rsidR="001C5AB5" w:rsidP="001C5AB5" w:rsidRDefault="001C5AB5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B2013F" w:rsidR="001C5AB5" w:rsidP="001C5AB5" w:rsidRDefault="001C5AB5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  <w:r w:rsidRPr="00B2013F">
        <w:rPr>
          <w:rFonts w:eastAsia="Times New Roman" w:cs="Arial"/>
          <w:szCs w:val="24"/>
          <w:lang w:eastAsia="hr-HR"/>
        </w:rPr>
        <w:tab/>
        <w:t>Ovaj zapisnik objaviti će se na e-Oglasnoj ploči.</w:t>
      </w:r>
    </w:p>
    <w:p w:rsidRPr="001C5AB5" w:rsidR="001C5AB5" w:rsidP="001C5AB5" w:rsidRDefault="001C5AB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1C5AB5" w:rsidR="001C5AB5" w:rsidP="001C5AB5" w:rsidRDefault="001C5AB5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1C5AB5" w:rsidR="001C5AB5" w:rsidP="001C5AB5" w:rsidRDefault="001C5AB5">
      <w:pPr>
        <w:spacing w:after="0" w:line="240" w:lineRule="auto"/>
        <w:jc w:val="both"/>
        <w:rPr>
          <w:rFonts w:eastAsia="Times New Roman" w:cs="Arial"/>
          <w:color w:val="0070C0"/>
          <w:szCs w:val="24"/>
          <w:lang w:eastAsia="hr-HR"/>
        </w:rPr>
      </w:pPr>
    </w:p>
    <w:p w:rsidRPr="001C5AB5" w:rsidR="001C5AB5" w:rsidP="001C5AB5" w:rsidRDefault="001C5AB5">
      <w:pPr>
        <w:spacing w:after="0" w:line="240" w:lineRule="auto"/>
        <w:jc w:val="center"/>
        <w:rPr>
          <w:rFonts w:eastAsia="Times New Roman" w:cs="Arial"/>
          <w:color w:val="000000"/>
          <w:szCs w:val="24"/>
          <w:lang w:eastAsia="hr-HR"/>
        </w:rPr>
      </w:pPr>
      <w:r w:rsidRPr="001C5AB5">
        <w:rPr>
          <w:rFonts w:eastAsia="Times New Roman" w:cs="Arial"/>
          <w:color w:val="000000"/>
          <w:szCs w:val="24"/>
          <w:lang w:eastAsia="hr-HR"/>
        </w:rPr>
        <w:t xml:space="preserve">Dovršeno u </w:t>
      </w:r>
      <w:r w:rsidR="00B2013F">
        <w:rPr>
          <w:rFonts w:eastAsia="Times New Roman" w:cs="Arial"/>
          <w:color w:val="000000"/>
          <w:szCs w:val="24"/>
          <w:lang w:eastAsia="hr-HR"/>
        </w:rPr>
        <w:t>10</w:t>
      </w:r>
      <w:r w:rsidRPr="001C5AB5">
        <w:rPr>
          <w:rFonts w:eastAsia="Times New Roman" w:cs="Arial"/>
          <w:color w:val="000000"/>
          <w:szCs w:val="24"/>
          <w:lang w:eastAsia="hr-HR"/>
        </w:rPr>
        <w:t>:</w:t>
      </w:r>
      <w:r w:rsidR="00B2013F">
        <w:rPr>
          <w:rFonts w:eastAsia="Times New Roman" w:cs="Arial"/>
          <w:color w:val="000000"/>
          <w:szCs w:val="24"/>
          <w:lang w:eastAsia="hr-HR"/>
        </w:rPr>
        <w:t>10</w:t>
      </w:r>
      <w:r w:rsidRPr="001C5AB5">
        <w:rPr>
          <w:rFonts w:eastAsia="Times New Roman" w:cs="Arial"/>
          <w:color w:val="000000"/>
          <w:szCs w:val="24"/>
          <w:lang w:eastAsia="hr-HR"/>
        </w:rPr>
        <w:t xml:space="preserve"> sati</w:t>
      </w:r>
    </w:p>
    <w:p w:rsidRPr="001C5AB5" w:rsidR="001C5AB5" w:rsidP="001C5AB5" w:rsidRDefault="001C5AB5">
      <w:pPr>
        <w:spacing w:after="0" w:line="240" w:lineRule="auto"/>
        <w:jc w:val="center"/>
        <w:rPr>
          <w:rFonts w:eastAsia="Times New Roman" w:cs="Arial"/>
          <w:color w:val="000000"/>
          <w:spacing w:val="8"/>
          <w:szCs w:val="24"/>
          <w:lang w:eastAsia="hr-HR"/>
        </w:rPr>
      </w:pPr>
    </w:p>
    <w:p w:rsidR="001C5AB5" w:rsidP="001C5AB5" w:rsidRDefault="001C5AB5">
      <w:pPr>
        <w:spacing w:after="0" w:line="240" w:lineRule="auto"/>
        <w:jc w:val="center"/>
        <w:rPr>
          <w:rFonts w:eastAsia="Times New Roman" w:cs="Arial"/>
          <w:color w:val="000000"/>
          <w:spacing w:val="8"/>
          <w:szCs w:val="24"/>
          <w:lang w:eastAsia="hr-HR"/>
        </w:rPr>
      </w:pPr>
    </w:p>
    <w:p w:rsidRPr="001C5AB5" w:rsidR="00B2013F" w:rsidP="001C5AB5" w:rsidRDefault="00B2013F">
      <w:pPr>
        <w:spacing w:after="0" w:line="240" w:lineRule="auto"/>
        <w:jc w:val="center"/>
        <w:rPr>
          <w:rFonts w:eastAsia="Times New Roman" w:cs="Arial"/>
          <w:color w:val="000000"/>
          <w:spacing w:val="8"/>
          <w:szCs w:val="24"/>
          <w:lang w:eastAsia="hr-HR"/>
        </w:rPr>
      </w:pPr>
    </w:p>
    <w:p w:rsidRPr="001C5AB5" w:rsidR="001C5AB5" w:rsidP="001C5AB5" w:rsidRDefault="001C5AB5">
      <w:pPr>
        <w:spacing w:after="0" w:line="240" w:lineRule="auto"/>
        <w:jc w:val="center"/>
        <w:rPr>
          <w:rFonts w:eastAsia="Times New Roman" w:cs="Arial"/>
          <w:color w:val="000000"/>
          <w:spacing w:val="8"/>
          <w:szCs w:val="24"/>
          <w:lang w:eastAsia="hr-HR"/>
        </w:rPr>
      </w:pPr>
    </w:p>
    <w:p w:rsidRPr="001C5AB5" w:rsidR="001C5AB5" w:rsidP="001C5AB5" w:rsidRDefault="001C5AB5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1C5AB5">
        <w:rPr>
          <w:rFonts w:eastAsia="Times New Roman" w:cs="Arial"/>
          <w:color w:val="000000"/>
          <w:szCs w:val="24"/>
          <w:lang w:eastAsia="hr-HR"/>
        </w:rPr>
        <w:tab/>
      </w:r>
      <w:r w:rsidRPr="001C5AB5">
        <w:rPr>
          <w:rFonts w:eastAsia="Times New Roman" w:cs="Arial"/>
          <w:color w:val="000000"/>
          <w:szCs w:val="24"/>
          <w:lang w:eastAsia="hr-HR"/>
        </w:rPr>
        <w:tab/>
        <w:t xml:space="preserve">                </w:t>
      </w:r>
      <w:r w:rsidRPr="001C5AB5">
        <w:rPr>
          <w:rFonts w:eastAsia="Times New Roman" w:cs="Arial"/>
          <w:color w:val="000000"/>
          <w:szCs w:val="24"/>
          <w:lang w:eastAsia="hr-HR"/>
        </w:rPr>
        <w:tab/>
      </w:r>
      <w:r w:rsidRPr="001C5AB5">
        <w:rPr>
          <w:rFonts w:eastAsia="Times New Roman" w:cs="Arial"/>
          <w:color w:val="000000"/>
          <w:szCs w:val="24"/>
          <w:lang w:eastAsia="hr-HR"/>
        </w:rPr>
        <w:tab/>
        <w:t xml:space="preserve">              Sutkinja</w:t>
      </w:r>
      <w:r w:rsidRPr="001C5AB5">
        <w:rPr>
          <w:rFonts w:eastAsia="Times New Roman" w:cs="Arial"/>
          <w:color w:val="000000"/>
          <w:szCs w:val="24"/>
          <w:lang w:eastAsia="hr-HR"/>
        </w:rPr>
        <w:tab/>
        <w:t xml:space="preserve">                    Stečajni upravitelj </w:t>
      </w:r>
    </w:p>
    <w:p w:rsidRPr="001C5AB5" w:rsidR="001C5AB5" w:rsidP="001C5AB5" w:rsidRDefault="001C5AB5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1C5AB5">
        <w:rPr>
          <w:rFonts w:eastAsia="Times New Roman" w:cs="Arial"/>
          <w:color w:val="000000"/>
          <w:szCs w:val="24"/>
          <w:lang w:eastAsia="hr-HR"/>
        </w:rPr>
        <w:tab/>
      </w:r>
    </w:p>
    <w:p w:rsidRPr="001C5AB5" w:rsidR="001C5AB5" w:rsidP="001C5AB5" w:rsidRDefault="001C5AB5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1C5AB5">
        <w:rPr>
          <w:rFonts w:eastAsia="Times New Roman" w:cs="Arial"/>
          <w:color w:val="000000"/>
          <w:szCs w:val="24"/>
          <w:lang w:eastAsia="hr-HR"/>
        </w:rPr>
        <w:tab/>
      </w:r>
      <w:r w:rsidRPr="001C5AB5">
        <w:rPr>
          <w:rFonts w:eastAsia="Times New Roman" w:cs="Arial"/>
          <w:color w:val="000000"/>
          <w:szCs w:val="24"/>
          <w:lang w:eastAsia="hr-HR"/>
        </w:rPr>
        <w:tab/>
      </w:r>
      <w:r w:rsidRPr="001C5AB5">
        <w:rPr>
          <w:rFonts w:eastAsia="Times New Roman" w:cs="Arial"/>
          <w:color w:val="000000"/>
          <w:szCs w:val="24"/>
          <w:lang w:eastAsia="hr-HR"/>
        </w:rPr>
        <w:tab/>
      </w:r>
      <w:r w:rsidRPr="001C5AB5">
        <w:rPr>
          <w:rFonts w:eastAsia="Times New Roman" w:cs="Arial"/>
          <w:color w:val="000000"/>
          <w:szCs w:val="24"/>
          <w:lang w:eastAsia="hr-HR"/>
        </w:rPr>
        <w:tab/>
        <w:t xml:space="preserve">  </w:t>
      </w:r>
    </w:p>
    <w:p w:rsidRPr="001C5AB5" w:rsidR="001C5AB5" w:rsidP="001C5AB5" w:rsidRDefault="001C5AB5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1C5AB5" w:rsidR="001C5AB5" w:rsidP="001C5AB5" w:rsidRDefault="001C5AB5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1C5AB5" w:rsidR="001C5AB5" w:rsidP="001C5AB5" w:rsidRDefault="001C5AB5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1C5AB5">
        <w:rPr>
          <w:rFonts w:eastAsia="Times New Roman" w:cs="Arial"/>
          <w:color w:val="000000"/>
          <w:szCs w:val="24"/>
          <w:lang w:eastAsia="hr-HR"/>
        </w:rPr>
        <w:t xml:space="preserve">                                                                 Zapisničarka</w:t>
      </w:r>
      <w:r w:rsidRPr="001C5AB5">
        <w:rPr>
          <w:rFonts w:eastAsia="Times New Roman" w:cs="Arial"/>
          <w:color w:val="000000"/>
          <w:szCs w:val="24"/>
          <w:lang w:eastAsia="hr-HR"/>
        </w:rPr>
        <w:tab/>
      </w:r>
      <w:r w:rsidRPr="001C5AB5">
        <w:rPr>
          <w:rFonts w:eastAsia="Times New Roman" w:cs="Arial"/>
          <w:color w:val="000000"/>
          <w:szCs w:val="24"/>
          <w:lang w:eastAsia="hr-HR"/>
        </w:rPr>
        <w:tab/>
      </w:r>
      <w:r w:rsidRPr="001C5AB5">
        <w:rPr>
          <w:rFonts w:eastAsia="Times New Roman" w:cs="Arial"/>
          <w:color w:val="000000"/>
          <w:szCs w:val="24"/>
          <w:lang w:eastAsia="hr-HR"/>
        </w:rPr>
        <w:tab/>
        <w:t xml:space="preserve">Vjerovnici  </w:t>
      </w:r>
    </w:p>
    <w:p w:rsidRPr="001C5AB5" w:rsidR="001C5AB5" w:rsidP="001C5AB5" w:rsidRDefault="001C5AB5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1C5AB5" w:rsidR="001C5AB5" w:rsidP="001C5AB5" w:rsidRDefault="001C5AB5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1C5AB5" w:rsidR="001C5AB5" w:rsidP="001C5AB5" w:rsidRDefault="001C5AB5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1C5AB5" w:rsidR="001C5AB5" w:rsidP="001C5AB5" w:rsidRDefault="001C5AB5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1C5AB5" w:rsidR="001C5AB5" w:rsidP="001C5AB5" w:rsidRDefault="001C5AB5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1C5AB5" w:rsidR="001C5AB5" w:rsidP="001C5AB5" w:rsidRDefault="001C5AB5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1C5AB5" w:rsidR="001C5AB5" w:rsidP="001C5AB5" w:rsidRDefault="001C5AB5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1C5AB5" w:rsidR="001C5AB5" w:rsidP="001C5AB5" w:rsidRDefault="001C5AB5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1C5AB5" w:rsidR="001C5AB5" w:rsidP="001C5AB5" w:rsidRDefault="001C5AB5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1C5AB5" w:rsidR="001C5AB5" w:rsidP="001C5AB5" w:rsidRDefault="001C5AB5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1C5AB5" w:rsidR="001C5AB5" w:rsidP="001C5AB5" w:rsidRDefault="001C5AB5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1C5AB5" w:rsidR="001C5AB5" w:rsidP="001C5AB5" w:rsidRDefault="001C5AB5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1C5AB5" w:rsidR="001C5AB5" w:rsidP="001C5AB5" w:rsidRDefault="001C5AB5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1C5AB5" w:rsidR="001C5AB5" w:rsidP="001C5AB5" w:rsidRDefault="001C5AB5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1C5AB5" w:rsidR="001C5AB5" w:rsidP="001C5AB5" w:rsidRDefault="001C5AB5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1C5AB5" w:rsidR="001C5AB5" w:rsidP="001C5AB5" w:rsidRDefault="001C5AB5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="002410FA" w:rsidRDefault="002410FA"/>
    <w:sectPr w:rsidR="002410FA" w:rsidSect="0021182D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C5AB5" w:rsidP="001C5AB5" w:rsidRDefault="001C5AB5">
      <w:pPr>
        <w:spacing w:after="0" w:line="240" w:lineRule="auto"/>
      </w:pPr>
      <w:r>
        <w:separator/>
      </w:r>
    </w:p>
  </w:endnote>
  <w:endnote w:type="continuationSeparator" w:id="0">
    <w:p w:rsidR="001C5AB5" w:rsidP="001C5AB5" w:rsidRDefault="001C5A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C5AB5" w:rsidP="001C5AB5" w:rsidRDefault="001C5AB5">
      <w:pPr>
        <w:spacing w:after="0" w:line="240" w:lineRule="auto"/>
      </w:pPr>
      <w:r>
        <w:separator/>
      </w:r>
    </w:p>
  </w:footnote>
  <w:footnote w:type="continuationSeparator" w:id="0">
    <w:p w:rsidR="001C5AB5" w:rsidP="001C5AB5" w:rsidRDefault="001C5A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80789356"/>
      <w:docPartObj>
        <w:docPartGallery w:val="Page Numbers (Top of Page)"/>
        <w:docPartUnique/>
      </w:docPartObj>
    </w:sdtPr>
    <w:sdtEndPr/>
    <w:sdtContent>
      <w:p w:rsidR="007C11C7" w:rsidRDefault="001C5AB5">
        <w:pPr>
          <w:pStyle w:val="Zaglavlje"/>
          <w:jc w:val="center"/>
          <w:rPr>
            <w:color w:val="auto"/>
            <w:sz w:val="24"/>
            <w:szCs w:val="24"/>
          </w:rPr>
        </w:pPr>
        <w:r>
          <w:tab/>
        </w:r>
        <w:r w:rsidRPr="0021182D">
          <w:rPr>
            <w:rFonts w:ascii="Arial" w:hAnsi="Arial" w:cs="Arial"/>
            <w:sz w:val="24"/>
            <w:szCs w:val="24"/>
          </w:rPr>
          <w:fldChar w:fldCharType="begin"/>
        </w:r>
        <w:r w:rsidRPr="0021182D">
          <w:rPr>
            <w:rFonts w:ascii="Arial" w:hAnsi="Arial" w:cs="Arial"/>
            <w:sz w:val="24"/>
            <w:szCs w:val="24"/>
          </w:rPr>
          <w:instrText>PAGE   \* MERGEFORMAT</w:instrText>
        </w:r>
        <w:r w:rsidRPr="0021182D">
          <w:rPr>
            <w:rFonts w:ascii="Arial" w:hAnsi="Arial" w:cs="Arial"/>
            <w:sz w:val="24"/>
            <w:szCs w:val="24"/>
          </w:rPr>
          <w:fldChar w:fldCharType="separate"/>
        </w:r>
        <w:r w:rsidR="00E77224">
          <w:rPr>
            <w:rFonts w:ascii="Arial" w:hAnsi="Arial" w:cs="Arial"/>
            <w:noProof/>
            <w:sz w:val="24"/>
            <w:szCs w:val="24"/>
          </w:rPr>
          <w:t>2</w:t>
        </w:r>
        <w:r w:rsidRPr="0021182D">
          <w:rPr>
            <w:rFonts w:ascii="Arial" w:hAnsi="Arial" w:cs="Arial"/>
            <w:sz w:val="24"/>
            <w:szCs w:val="24"/>
          </w:rPr>
          <w:fldChar w:fldCharType="end"/>
        </w:r>
        <w:r w:rsidRPr="0021182D">
          <w:rPr>
            <w:rFonts w:ascii="Arial" w:hAnsi="Arial" w:cs="Arial"/>
          </w:rPr>
          <w:tab/>
        </w:r>
        <w:r>
          <w:rPr>
            <w:rFonts w:ascii="Arial" w:hAnsi="Arial" w:cs="Arial"/>
            <w:sz w:val="24"/>
            <w:szCs w:val="24"/>
          </w:rPr>
          <w:t>St-29</w:t>
        </w:r>
        <w:r w:rsidRPr="0021182D">
          <w:rPr>
            <w:rFonts w:ascii="Arial" w:hAnsi="Arial" w:cs="Arial"/>
            <w:sz w:val="24"/>
            <w:szCs w:val="24"/>
          </w:rPr>
          <w:t>/</w:t>
        </w:r>
        <w:r>
          <w:rPr>
            <w:rFonts w:ascii="Arial" w:hAnsi="Arial" w:cs="Arial"/>
            <w:color w:val="auto"/>
            <w:sz w:val="24"/>
            <w:szCs w:val="24"/>
          </w:rPr>
          <w:t>2024</w:t>
        </w:r>
        <w:r w:rsidRPr="0021182D">
          <w:rPr>
            <w:rFonts w:ascii="Arial" w:hAnsi="Arial" w:cs="Arial"/>
            <w:color w:val="auto"/>
            <w:sz w:val="24"/>
            <w:szCs w:val="24"/>
          </w:rPr>
          <w:t>-</w:t>
        </w:r>
        <w:r w:rsidR="00055277">
          <w:rPr>
            <w:rFonts w:ascii="Arial" w:hAnsi="Arial" w:cs="Arial"/>
            <w:color w:val="auto"/>
            <w:sz w:val="24"/>
            <w:szCs w:val="24"/>
          </w:rPr>
          <w:t>84</w:t>
        </w:r>
      </w:p>
      <w:p w:rsidR="00045D90" w:rsidRDefault="001C5AB5">
        <w:pPr>
          <w:pStyle w:val="Zaglavlje"/>
          <w:jc w:val="center"/>
        </w:pP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tab/>
        </w:r>
      </w:p>
    </w:sdtContent>
  </w:sdt>
  <w:p w:rsidR="00045D90" w:rsidRDefault="00E77224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AB5"/>
    <w:rsid w:val="00055277"/>
    <w:rsid w:val="001C5AB5"/>
    <w:rsid w:val="002074DB"/>
    <w:rsid w:val="002410FA"/>
    <w:rsid w:val="005A0EC7"/>
    <w:rsid w:val="00673D16"/>
    <w:rsid w:val="00B2013F"/>
    <w:rsid w:val="00E77224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CD0A6A7C-6803-4721-B168-A78A1C14FFD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1C5AB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1C5AB5"/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1C5AB5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1C5AB5"/>
  </w:style>
  <w:style w:type="paragraph" w:styleId="Tekstbalonia">
    <w:name w:val="Balloon Text"/>
    <w:basedOn w:val="Normal"/>
    <w:link w:val="TekstbaloniaChar"/>
    <w:uiPriority w:val="99"/>
    <w:semiHidden/>
    <w:unhideWhenUsed/>
    <w:rsid w:val="002074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074DB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E7722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77224"/>
    <w:rPr>
      <w:rFonts w:ascii="Times New Roman" w:hAnsi="Times New Roman" w:eastAsia="Times New Roman" w:cs="Times New Roman"/>
      <w:color w:val="000000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E77224"/>
    <w:rPr>
      <w:rFonts w:eastAsia="Times New Roman" w:cs="Arial"/>
      <w:color w:val="000000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E77224"/>
    <w:rPr>
      <w:rFonts w:ascii="Times New Roman" w:hAnsi="Times New Roman" w:eastAsia="Times New Roman" w:cs="Arial"/>
      <w:color w:val="000000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E77224"/>
    <w:rPr>
      <w:rFonts w:ascii="Times New Roman" w:hAnsi="Times New Roman" w:eastAsia="Times New Roman" w:cs="Arial"/>
      <w:color w:val="000000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1. srpnja 2025.</izvorni_sadrzaj>
    <derivirana_varijabla naziv="DomainObject.StvarniPocetakDatum_1">1. srpnja 2025.</derivirana_varijabla>
  </DomainObject.StvarniPocetakDatum>
  <DomainObject.StvarniZavrsetakDatum>
    <izvorni_sadrzaj>1. srpnja 2025.</izvorni_sadrzaj>
    <derivirana_varijabla naziv="DomainObject.StvarniZavrsetakDatum_1">1. srpnja 2025.</derivirana_varijabla>
  </DomainObject.StvarniZavrsetakDatum>
  <DomainObject.PlaniraniZavrsetakDatum>
    <izvorni_sadrzaj>1. srpnja 2025.</izvorni_sadrzaj>
    <derivirana_varijabla naziv="DomainObject.PlaniraniZavrsetakDatum_1">1. srpnja 2025.</derivirana_varijabla>
  </DomainObject.PlaniraniZavrsetakDatum>
  <DomainObject.PlaniraniPocetakDatum>
    <izvorni_sadrzaj>1. srpnja 2025.</izvorni_sadrzaj>
    <derivirana_varijabla naziv="DomainObject.PlaniraniPocetakDatum_1">1. srpnja 2025.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srpnja 2025.</izvorni_sadrzaj>
    <derivirana_varijabla naziv="DomainObject.Zapisnik.DatumKreiranja_1">1. srpnja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St-29/2024-84</izvorni_sadrzaj>
    <derivirana_varijabla naziv="DomainObject.Zapisnik.Oznaka_1">St-29/2024-84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2024.</izvorni_sadrzaj>
    <derivirana_varijabla naziv="DomainObject.Predmet.DatumOsnivanja_1">26. siječnja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naknadne diobe</izvorni_sadrzaj>
    <derivirana_varijabla naziv="DomainObject.Predmet.Opis_1">novi broj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St-29/2024</izvorni_sadrzaj>
    <derivirana_varijabla naziv="DomainObject.Predmet.OznakaBroj_1">St-29/2024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APEX NAVIS d.o.o. savjetovanje u pomorstvu i brodogradnji, turistička agencija u stečaju</izvorni_sadrzaj>
    <derivirana_varijabla naziv="DomainObject.Predmet.ProtustrankaFormated_1">  Stečajna masa iza APEX NAVIS d.o.o. savjetovanje u pomorstvu i brodogradnji, turistička agencija u stečaju</derivirana_varijabla>
  </DomainObject.Predmet.ProtustrankaFormated>
  <DomainObject.Predmet.ProtustrankaFormatedOIB>
    <izvorni_sadrzaj>  Stečajna masa iza APEX NAVIS d.o.o. savjetovanje u pomorstvu i brodogradnji, turistička agencija u stečaju, OIB 25665183089</izvorni_sadrzaj>
    <derivirana_varijabla naziv="DomainObject.Predmet.ProtustrankaFormatedOIB_1">  Stečajna masa iza APEX NAVIS d.o.o. savjetovanje u pomorstvu i brodogradnji, turistička agencija u stečaju, OIB 25665183089</derivirana_varijabla>
  </DomainObject.Predmet.ProtustrankaFormatedOIB>
  <DomainObject.Predmet.ProtustrankaFormatedWithAdress>
    <izvorni_sadrzaj> Stečajna masa iza APEX NAVIS d.o.o. savjetovanje u pomorstvu i brodogradnji, turistička agencija u stečaju, Lupoglavska ulica 3, 10000 Zagreb</izvorni_sadrzaj>
    <derivirana_varijabla naziv="DomainObject.Predmet.ProtustrankaFormatedWithAdress_1"> Stečajna masa iza APEX NAVIS d.o.o. savjetovanje u pomorstvu i brodogradnji, turistička agencija u stečaju, Lupoglavska ulica 3, 10000 Zagreb</derivirana_varijabla>
  </DomainObject.Predmet.ProtustrankaFormatedWithAdress>
  <DomainObject.Predmet.ProtustrankaFormatedWithAdressOIB>
    <izvorni_sadrzaj> Stečajna masa iza APEX NAVIS d.o.o. savjetovanje u pomorstvu i brodogradnji, turistička agencija u stečaju, OIB 25665183089, Lupoglavska ulica 3, 10000 Zagreb</izvorni_sadrzaj>
    <derivirana_varijabla naziv="DomainObject.Predmet.ProtustrankaFormatedWithAdressOIB_1"> Stečajna masa iza APEX NAVIS d.o.o. savjetovanje u pomorstvu i brodogradnji, turistička agencija u stečaju, OIB 25665183089, Lupoglavska ulica 3, 10000 Zagreb</derivirana_varijabla>
  </DomainObject.Predmet.ProtustrankaFormatedWithAdressOIB>
  <DomainObject.Predmet.ProtustrankaWithAdress>
    <izvorni_sadrzaj>Stečajna masa iza APEX NAVIS d.o.o. savjetovanje u pomorstvu i brodogradnji, turistička agencija u stečaju Lupoglavska ulica 3, 10000 Zagreb</izvorni_sadrzaj>
    <derivirana_varijabla naziv="DomainObject.Predmet.ProtustrankaWithAdress_1">Stečajna masa iza APEX NAVIS d.o.o. savjetovanje u pomorstvu i brodogradnji, turistička agencija u stečaju Lupoglavska ulica 3, 10000 Zagreb</derivirana_varijabla>
  </DomainObject.Predmet.ProtustrankaWithAdress>
  <DomainObject.Predmet.ProtustrankaWithAdressOIB>
    <izvorni_sadrzaj>Stečajna masa iza APEX NAVIS d.o.o. savjetovanje u pomorstvu i brodogradnji, turistička agencija u stečaju, OIB 25665183089, Lupoglavska ulica 3, 10000 Zagreb</izvorni_sadrzaj>
    <derivirana_varijabla naziv="DomainObject.Predmet.ProtustrankaWithAdressOIB_1">Stečajna masa iza APEX NAVIS d.o.o. savjetovanje u pomorstvu i brodogradnji, turistička agencija u stečaju, OIB 25665183089, Lupoglavska ulica 3, 10000 Zagreb</derivirana_varijabla>
  </DomainObject.Predmet.ProtustrankaWithAdressOIB>
  <DomainObject.Predmet.ProtustrankaNazivFormated>
    <izvorni_sadrzaj>Stečajna masa iza APEX NAVIS d.o.o. savjetovanje u pomorstvu i brodogradnji, turistička agencija u stečaju</izvorni_sadrzaj>
    <derivirana_varijabla naziv="DomainObject.Predmet.ProtustrankaNazivFormated_1">Stečajna masa iza APEX NAVIS d.o.o. savjetovanje u pomorstvu i brodogradnji, turistička agencija u stečaju</derivirana_varijabla>
  </DomainObject.Predmet.ProtustrankaNazivFormated>
  <DomainObject.Predmet.ProtustrankaNazivFormatedOIB>
    <izvorni_sadrzaj>Stečajna masa iza APEX NAVIS d.o.o. savjetovanje u pomorstvu i brodogradnji, turistička agencija u stečaju, OIB 25665183089</izvorni_sadrzaj>
    <derivirana_varijabla naziv="DomainObject.Predmet.ProtustrankaNazivFormatedOIB_1">Stečajna masa iza APEX NAVIS d.o.o. savjetovanje u pomorstvu i brodogradnji, turistička agencija u stečaju, OIB 25665183089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Pula, PULA; FLACH TOURS d.o.o. turistička agencija i poslovanje nekretninama; APEX NAVIS d.o.o. savjetovanje u pomorstvu i brodogradnji, turistička agencija u stečaju; Ministarstvo mora, prometa i infrastrukture; MORGAN CARGO j.d.o.o. za prijevoz i usluge</izvorni_sadrzaj>
    <derivirana_varijabla naziv="DomainObject.Predmet.StrankaFormated_1">  Financijska agencija, Podružnica Pula, PULA; FLACH TOURS d.o.o. turistička agencija i poslovanje nekretninama; APEX NAVIS d.o.o. savjetovanje u pomorstvu i brodogradnji, turistička agencija u stečaju; Ministarstvo mora, prometa i infrastrukture; MORGAN CARGO j.d.o.o. za prijevoz i usluge</derivirana_varijabla>
  </DomainObject.Predmet.StrankaFormated>
  <DomainObject.Predmet.StrankaFormatedOIB>
    <izvorni_sadrzaj>  Financijska agencija, Podružnica Pula, PULA, OIB 85821130368; FLACH TOURS d.o.o. turistička agencija i poslovanje nekretninama, OIB 10947185249; APEX NAVIS d.o.o. savjetovanje u pomorstvu i brodogradnji, turistička agencija u stečaju, OIB 30244289973; Ministarstvo mora, prometa i infrastrukture, OIB 22874515170; MORGAN CARGO j.d.o.o. za prijevoz i usluge, OIB 96365500785</izvorni_sadrzaj>
    <derivirana_varijabla naziv="DomainObject.Predmet.StrankaFormatedOIB_1">  Financijska agencija, Podružnica Pula, PULA, OIB 85821130368; FLACH TOURS d.o.o. turistička agencija i poslovanje nekretninama, OIB 10947185249; APEX NAVIS d.o.o. savjetovanje u pomorstvu i brodogradnji, turistička agencija u stečaju, OIB 30244289973; Ministarstvo mora, prometa i infrastrukture, OIB 22874515170; MORGAN CARGO j.d.o.o. za prijevoz i usluge, OIB 96365500785</derivirana_varijabla>
  </DomainObject.Predmet.StrankaFormatedOIB>
  <DomainObject.Predmet.StrankaFormatedWithAdress>
    <izvorni_sadrzaj> Financijska agencija, Podružnica Pula, PULA, GIARDINI 5, 52100 Pula; FLACH TOURS d.o.o. turistička agencija i poslovanje nekretninama, Osipovica 18, 52100 Medulin; APEX NAVIS d.o.o. savjetovanje u pomorstvu i brodogradnji, turistička agencija u stečaju, Osipovica 18, 52100 Medulin; Ministarstvo mora, prometa i infrastrukture, Prisavlje 14, 10000 Zagreb; MORGAN CARGO j.d.o.o. za prijevoz i usluge, Pomer 154, 52100 Pomer</izvorni_sadrzaj>
    <derivirana_varijabla naziv="DomainObject.Predmet.StrankaFormatedWithAdress_1"> Financijska agencija, Podružnica Pula, PULA, GIARDINI 5, 52100 Pula; FLACH TOURS d.o.o. turistička agencija i poslovanje nekretninama, Osipovica 18, 52100 Medulin; APEX NAVIS d.o.o. savjetovanje u pomorstvu i brodogradnji, turistička agencija u stečaju, Osipovica 18, 52100 Medulin; Ministarstvo mora, prometa i infrastrukture, Prisavlje 14, 10000 Zagreb; MORGAN CARGO j.d.o.o. za prijevoz i usluge, Pomer 154, 52100 Pomer</derivirana_varijabla>
  </DomainObject.Predmet.StrankaFormatedWithAdress>
  <DomainObject.Predmet.StrankaFormatedWithAdressOIB>
    <izvorni_sadrzaj> Financijska agencija, Podružnica Pula, PULA, OIB 85821130368, GIARDINI 5, 52100 Pula; FLACH TOURS d.o.o. turistička agencija i poslovanje nekretninama, OIB 10947185249, Osipovica 18, 52100 Medulin; APEX NAVIS d.o.o. savjetovanje u pomorstvu i brodogradnji, turistička agencija u stečaju, OIB 30244289973, Osipovica 18, 52100 Medulin; Ministarstvo mora, prometa i infrastrukture, OIB 22874515170, Prisavlje 14, 10000 Zagreb; MORGAN CARGO j.d.o.o. za prijevoz i usluge, OIB 96365500785, Pomer 154, 52100 Pomer</izvorni_sadrzaj>
    <derivirana_varijabla naziv="DomainObject.Predmet.StrankaFormatedWithAdressOIB_1"> Financijska agencija, Podružnica Pula, PULA, OIB 85821130368, GIARDINI 5, 52100 Pula; FLACH TOURS d.o.o. turistička agencija i poslovanje nekretninama, OIB 10947185249, Osipovica 18, 52100 Medulin; APEX NAVIS d.o.o. savjetovanje u pomorstvu i brodogradnji, turistička agencija u stečaju, OIB 30244289973, Osipovica 18, 52100 Medulin; Ministarstvo mora, prometa i infrastrukture, OIB 22874515170, Prisavlje 14, 10000 Zagreb; MORGAN CARGO j.d.o.o. za prijevoz i usluge, OIB 96365500785, Pomer 154, 52100 Pomer</derivirana_varijabla>
  </DomainObject.Predmet.StrankaFormatedWithAdressOIB>
  <DomainObject.Predmet.StrankaWithAdress>
    <izvorni_sadrzaj>Financijska agencija, Podružnica Pula, PULA GIARDINI 5,52100 Pula,FLACH TOURS d.o.o. turistička agencija i poslovanje nekretninama Osipovica 18,52100 Medulin,APEX NAVIS d.o.o. savjetovanje u pomorstvu i brodogradnji, turistička agencija u stečaju Osipovica 18,52100 Medulin,Ministarstvo mora, prometa i infrastrukture Prisavlje 14,10000 Zagreb,MORGAN CARGO j.d.o.o. za prijevoz i usluge Pomer 154,52100 Pomer</izvorni_sadrzaj>
    <derivirana_varijabla naziv="DomainObject.Predmet.StrankaWithAdress_1">Financijska agencija, Podružnica Pula, PULA GIARDINI 5,52100 Pula,FLACH TOURS d.o.o. turistička agencija i poslovanje nekretninama Osipovica 18,52100 Medulin,APEX NAVIS d.o.o. savjetovanje u pomorstvu i brodogradnji, turistička agencija u stečaju Osipovica 18,52100 Medulin,Ministarstvo mora, prometa i infrastrukture Prisavlje 14,10000 Zagreb,MORGAN CARGO j.d.o.o. za prijevoz i usluge Pomer 154,52100 Pomer</derivirana_varijabla>
  </DomainObject.Predmet.StrankaWithAdress>
  <DomainObject.Predmet.StrankaWithAdressOIB>
    <izvorni_sadrzaj>Financijska agencija, Podružnica Pula, PULA, OIB 85821130368, GIARDINI 5,52100 Pula,FLACH TOURS d.o.o. turistička agencija i poslovanje nekretninama, OIB 10947185249, Osipovica 18,52100 Medulin,APEX NAVIS d.o.o. savjetovanje u pomorstvu i brodogradnji, turistička agencija u stečaju, OIB 30244289973, Osipovica 18,52100 Medulin,Ministarstvo mora, prometa i infrastrukture, OIB 22874515170, Prisavlje 14,10000 Zagreb,MORGAN CARGO j.d.o.o. za prijevoz i usluge, OIB 96365500785, Pomer 154,52100 Pomer</izvorni_sadrzaj>
    <derivirana_varijabla naziv="DomainObject.Predmet.StrankaWithAdressOIB_1">Financijska agencija, Podružnica Pula, PULA, OIB 85821130368, GIARDINI 5,52100 Pula,FLACH TOURS d.o.o. turistička agencija i poslovanje nekretninama, OIB 10947185249, Osipovica 18,52100 Medulin,APEX NAVIS d.o.o. savjetovanje u pomorstvu i brodogradnji, turistička agencija u stečaju, OIB 30244289973, Osipovica 18,52100 Medulin,Ministarstvo mora, prometa i infrastrukture, OIB 22874515170, Prisavlje 14,10000 Zagreb,MORGAN CARGO j.d.o.o. za prijevoz i usluge, OIB 96365500785, Pomer 154,52100 Pomer</derivirana_varijabla>
  </DomainObject.Predmet.StrankaWithAdressOIB>
  <DomainObject.Predmet.StrankaNazivFormated>
    <izvorni_sadrzaj>Financijska agencija, Podružnica Pula, PULA,FLACH TOURS d.o.o. turistička agencija i poslovanje nekretninama,APEX NAVIS d.o.o. savjetovanje u pomorstvu i brodogradnji, turistička agencija u stečaju,Ministarstvo mora, prometa i infrastrukture,MORGAN CARGO j.d.o.o. za prijevoz i usluge</izvorni_sadrzaj>
    <derivirana_varijabla naziv="DomainObject.Predmet.StrankaNazivFormated_1">Financijska agencija, Podružnica Pula, PULA,FLACH TOURS d.o.o. turistička agencija i poslovanje nekretninama,APEX NAVIS d.o.o. savjetovanje u pomorstvu i brodogradnji, turistička agencija u stečaju,Ministarstvo mora, prometa i infrastrukture,MORGAN CARGO j.d.o.o. za prijevoz i usluge</derivirana_varijabla>
  </DomainObject.Predmet.StrankaNazivFormated>
  <DomainObject.Predmet.StrankaNazivFormatedOIB>
    <izvorni_sadrzaj>Financijska agencija, Podružnica Pula, PULA, OIB 85821130368,FLACH TOURS d.o.o. turistička agencija i poslovanje nekretninama, OIB 10947185249,APEX NAVIS d.o.o. savjetovanje u pomorstvu i brodogradnji, turistička agencija u stečaju, OIB 30244289973,Ministarstvo mora, prometa i infrastrukture, OIB 22874515170,MORGAN CARGO j.d.o.o. za prijevoz i usluge, OIB 96365500785</izvorni_sadrzaj>
    <derivirana_varijabla naziv="DomainObject.Predmet.StrankaNazivFormatedOIB_1">Financijska agencija, Podružnica Pula, PULA, OIB 85821130368,FLACH TOURS d.o.o. turistička agencija i poslovanje nekretninama, OIB 10947185249,APEX NAVIS d.o.o. savjetovanje u pomorstvu i brodogradnji, turistička agencija u stečaju, OIB 30244289973,Ministarstvo mora, prometa i infrastrukture, OIB 22874515170,MORGAN CARGO j.d.o.o. za prijevoz i usluge, OIB 96365500785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Podružnica Pula, PULA</item>
      <item>FLACH TOURS d.o.o. turistička agencija i poslovanje nekretninama</item>
      <item>APEX NAVIS d.o.o. savjetovanje u pomorstvu i brodogradnji, turistička agencija u stečaju</item>
      <item>Ministarstvo mora, prometa i infrastrukture</item>
      <item>MORGAN CARGO j.d.o.o. za prijevoz i usluge</item>
    </izvorni_sadrzaj>
    <derivirana_varijabla naziv="DomainObject.Predmet.StrankaListFormated_1">
      <item>Financijska agencija, Podružnica Pula, PULA</item>
      <item>FLACH TOURS d.o.o. turistička agencija i poslovanje nekretninama</item>
      <item>APEX NAVIS d.o.o. savjetovanje u pomorstvu i brodogradnji, turistička agencija u stečaju</item>
      <item>Ministarstvo mora, prometa i infrastrukture</item>
      <item>MORGAN CARGO j.d.o.o. za prijevoz i usluge</item>
    </derivirana_varijabla>
  </DomainObject.Predmet.StrankaListFormated>
  <DomainObject.Predmet.StrankaListFormatedOIB>
    <izvorni_sadrzaj>
      <item>Financijska agencija, Podružnica Pula, PULA, OIB 85821130368</item>
      <item>FLACH TOURS d.o.o. turistička agencija i poslovanje nekretninama, OIB 10947185249</item>
      <item>APEX NAVIS d.o.o. savjetovanje u pomorstvu i brodogradnji, turistička agencija u stečaju, OIB 30244289973</item>
      <item>Ministarstvo mora, prometa i infrastrukture, OIB 22874515170</item>
      <item>MORGAN CARGO j.d.o.o. za prijevoz i usluge, OIB 96365500785</item>
    </izvorni_sadrzaj>
    <derivirana_varijabla naziv="DomainObject.Predmet.StrankaListFormatedOIB_1">
      <item>Financijska agencija, Podružnica Pula, PULA, OIB 85821130368</item>
      <item>FLACH TOURS d.o.o. turistička agencija i poslovanje nekretninama, OIB 10947185249</item>
      <item>APEX NAVIS d.o.o. savjetovanje u pomorstvu i brodogradnji, turistička agencija u stečaju, OIB 30244289973</item>
      <item>Ministarstvo mora, prometa i infrastrukture, OIB 22874515170</item>
      <item>MORGAN CARGO j.d.o.o. za prijevoz i usluge, OIB 96365500785</item>
    </derivirana_varijabla>
  </DomainObject.Predmet.StrankaListFormatedOIB>
  <DomainObject.Predmet.StrankaListFormatedWithAdress>
    <izvorni_sadrzaj>
      <item>Financijska agencija, Podružnica Pula, PULA, GIARDINI 5, 52100 Pula</item>
      <item>FLACH TOURS d.o.o. turistička agencija i poslovanje nekretninama, Osipovica 18, 52100 Medulin</item>
      <item>APEX NAVIS d.o.o. savjetovanje u pomorstvu i brodogradnji, turistička agencija u stečaju, Osipovica 18, 52100 Medulin</item>
      <item>Ministarstvo mora, prometa i infrastrukture, Prisavlje 14, 10000 Zagreb</item>
      <item>MORGAN CARGO j.d.o.o. za prijevoz i usluge, Pomer 154, 52100 Pomer</item>
    </izvorni_sadrzaj>
    <derivirana_varijabla naziv="DomainObject.Predmet.StrankaListFormatedWithAdress_1">
      <item>Financijska agencija, Podružnica Pula, PULA, GIARDINI 5, 52100 Pula</item>
      <item>FLACH TOURS d.o.o. turistička agencija i poslovanje nekretninama, Osipovica 18, 52100 Medulin</item>
      <item>APEX NAVIS d.o.o. savjetovanje u pomorstvu i brodogradnji, turistička agencija u stečaju, Osipovica 18, 52100 Medulin</item>
      <item>Ministarstvo mora, prometa i infrastrukture, Prisavlje 14, 10000 Zagreb</item>
      <item>MORGAN CARGO j.d.o.o. za prijevoz i usluge, Pomer 154, 52100 Pomer</item>
    </derivirana_varijabla>
  </DomainObject.Predmet.StrankaListFormatedWithAdress>
  <DomainObject.Predmet.StrankaListFormatedWithAdressOIB>
    <izvorni_sadrzaj>
      <item>Financijska agencija, Podružnica Pula, PULA, OIB 85821130368, GIARDINI 5, 52100 Pula</item>
      <item>FLACH TOURS d.o.o. turistička agencija i poslovanje nekretninama, OIB 10947185249, Osipovica 18, 52100 Medulin</item>
      <item>APEX NAVIS d.o.o. savjetovanje u pomorstvu i brodogradnji, turistička agencija u stečaju, OIB 30244289973, Osipovica 18, 52100 Medulin</item>
      <item>Ministarstvo mora, prometa i infrastrukture, OIB 22874515170, Prisavlje 14, 10000 Zagreb</item>
      <item>MORGAN CARGO j.d.o.o. za prijevoz i usluge, OIB 96365500785, Pomer 154, 52100 Pomer</item>
    </izvorni_sadrzaj>
    <derivirana_varijabla naziv="DomainObject.Predmet.StrankaListFormatedWithAdressOIB_1">
      <item>Financijska agencija, Podružnica Pula, PULA, OIB 85821130368, GIARDINI 5, 52100 Pula</item>
      <item>FLACH TOURS d.o.o. turistička agencija i poslovanje nekretninama, OIB 10947185249, Osipovica 18, 52100 Medulin</item>
      <item>APEX NAVIS d.o.o. savjetovanje u pomorstvu i brodogradnji, turistička agencija u stečaju, OIB 30244289973, Osipovica 18, 52100 Medulin</item>
      <item>Ministarstvo mora, prometa i infrastrukture, OIB 22874515170, Prisavlje 14, 10000 Zagreb</item>
      <item>MORGAN CARGO j.d.o.o. za prijevoz i usluge, OIB 96365500785, Pomer 154, 52100 Pomer</item>
    </derivirana_varijabla>
  </DomainObject.Predmet.StrankaListFormatedWithAdressOIB>
  <DomainObject.Predmet.StrankaListNazivFormated>
    <izvorni_sadrzaj>
      <item>Financijska agencija, Podružnica Pula, PULA</item>
      <item>FLACH TOURS d.o.o. turistička agencija i poslovanje nekretninama</item>
      <item>APEX NAVIS d.o.o. savjetovanje u pomorstvu i brodogradnji, turistička agencija u stečaju</item>
      <item>Ministarstvo mora, prometa i infrastrukture</item>
      <item>MORGAN CARGO j.d.o.o. za prijevoz i usluge</item>
    </izvorni_sadrzaj>
    <derivirana_varijabla naziv="DomainObject.Predmet.StrankaListNazivFormated_1">
      <item>Financijska agencija, Podružnica Pula, PULA</item>
      <item>FLACH TOURS d.o.o. turistička agencija i poslovanje nekretninama</item>
      <item>APEX NAVIS d.o.o. savjetovanje u pomorstvu i brodogradnji, turistička agencija u stečaju</item>
      <item>Ministarstvo mora, prometa i infrastrukture</item>
      <item>MORGAN CARGO j.d.o.o. za prijevoz i usluge</item>
    </derivirana_varijabla>
  </DomainObject.Predmet.StrankaListNazivFormated>
  <DomainObject.Predmet.StrankaListNazivFormatedOIB>
    <izvorni_sadrzaj>
      <item>Financijska agencija, Podružnica Pula, PULA, OIB 85821130368</item>
      <item>FLACH TOURS d.o.o. turistička agencija i poslovanje nekretninama, OIB 10947185249</item>
      <item>APEX NAVIS d.o.o. savjetovanje u pomorstvu i brodogradnji, turistička agencija u stečaju, OIB 30244289973</item>
      <item>Ministarstvo mora, prometa i infrastrukture, OIB 22874515170</item>
      <item>MORGAN CARGO j.d.o.o. za prijevoz i usluge, OIB 96365500785</item>
    </izvorni_sadrzaj>
    <derivirana_varijabla naziv="DomainObject.Predmet.StrankaListNazivFormatedOIB_1">
      <item>Financijska agencija, Podružnica Pula, PULA, OIB 85821130368</item>
      <item>FLACH TOURS d.o.o. turistička agencija i poslovanje nekretninama, OIB 10947185249</item>
      <item>APEX NAVIS d.o.o. savjetovanje u pomorstvu i brodogradnji, turistička agencija u stečaju, OIB 30244289973</item>
      <item>Ministarstvo mora, prometa i infrastrukture, OIB 22874515170</item>
      <item>MORGAN CARGO j.d.o.o. za prijevoz i usluge, OIB 96365500785</item>
    </derivirana_varijabla>
  </DomainObject.Predmet.StrankaListNazivFormatedOIB>
  <DomainObject.Predmet.ProtuStrankaListFormated>
    <izvorni_sadrzaj>
      <item>Stečajna masa iza APEX NAVIS d.o.o. savjetovanje u pomorstvu i brodogradnji, turistička agencija u stečaju</item>
    </izvorni_sadrzaj>
    <derivirana_varijabla naziv="DomainObject.Predmet.ProtuStrankaListFormated_1">
      <item>Stečajna masa iza APEX NAVIS d.o.o. savjetovanje u pomorstvu i brodogradnji, turistička agencija u stečaju</item>
    </derivirana_varijabla>
  </DomainObject.Predmet.ProtuStrankaListFormated>
  <DomainObject.Predmet.ProtuStrankaListFormatedOIB>
    <izvorni_sadrzaj>
      <item>Stečajna masa iza APEX NAVIS d.o.o. savjetovanje u pomorstvu i brodogradnji, turistička agencija u stečaju, OIB 25665183089</item>
    </izvorni_sadrzaj>
    <derivirana_varijabla naziv="DomainObject.Predmet.ProtuStrankaListFormatedOIB_1">
      <item>Stečajna masa iza APEX NAVIS d.o.o. savjetovanje u pomorstvu i brodogradnji, turistička agencija u stečaju, OIB 25665183089</item>
    </derivirana_varijabla>
  </DomainObject.Predmet.ProtuStrankaListFormatedOIB>
  <DomainObject.Predmet.ProtuStrankaListFormatedWithAdress>
    <izvorni_sadrzaj>
      <item>Stečajna masa iza APEX NAVIS d.o.o. savjetovanje u pomorstvu i brodogradnji, turistička agencija u stečaju, Lupoglavska ulica 3, 10000 Zagreb</item>
    </izvorni_sadrzaj>
    <derivirana_varijabla naziv="DomainObject.Predmet.ProtuStrankaListFormatedWithAdress_1">
      <item>Stečajna masa iza APEX NAVIS d.o.o. savjetovanje u pomorstvu i brodogradnji, turistička agencija u stečaju, Lupoglavska ulica 3, 10000 Zagreb</item>
    </derivirana_varijabla>
  </DomainObject.Predmet.ProtuStrankaListFormatedWithAdress>
  <DomainObject.Predmet.ProtuStrankaListFormatedWithAdressOIB>
    <izvorni_sadrzaj>
      <item>Stečajna masa iza APEX NAVIS d.o.o. savjetovanje u pomorstvu i brodogradnji, turistička agencija u stečaju, OIB 25665183089, Lupoglavska ulica 3, 10000 Zagreb</item>
    </izvorni_sadrzaj>
    <derivirana_varijabla naziv="DomainObject.Predmet.ProtuStrankaListFormatedWithAdressOIB_1">
      <item>Stečajna masa iza APEX NAVIS d.o.o. savjetovanje u pomorstvu i brodogradnji, turistička agencija u stečaju, OIB 25665183089, Lupoglavska ulica 3, 10000 Zagreb</item>
    </derivirana_varijabla>
  </DomainObject.Predmet.ProtuStrankaListFormatedWithAdressOIB>
  <DomainObject.Predmet.ProtuStrankaListNazivFormated>
    <izvorni_sadrzaj>
      <item>Stečajna masa iza APEX NAVIS d.o.o. savjetovanje u pomorstvu i brodogradnji, turistička agencija u stečaju</item>
    </izvorni_sadrzaj>
    <derivirana_varijabla naziv="DomainObject.Predmet.ProtuStrankaListNazivFormated_1">
      <item>Stečajna masa iza APEX NAVIS d.o.o. savjetovanje u pomorstvu i brodogradnji, turistička agencija u stečaju</item>
    </derivirana_varijabla>
  </DomainObject.Predmet.ProtuStrankaListNazivFormated>
  <DomainObject.Predmet.ProtuStrankaListNazivFormatedOIB>
    <izvorni_sadrzaj>
      <item>Stečajna masa iza APEX NAVIS d.o.o. savjetovanje u pomorstvu i brodogradnji, turistička agencija u stečaju, OIB 25665183089</item>
    </izvorni_sadrzaj>
    <derivirana_varijabla naziv="DomainObject.Predmet.ProtuStrankaListNazivFormatedOIB_1">
      <item>Stečajna masa iza APEX NAVIS d.o.o. savjetovanje u pomorstvu i brodogradnji, turistička agencija u stečaju, OIB 25665183089</item>
    </derivirana_varijabla>
  </DomainObject.Predmet.ProtuStrankaListNazivFormatedOIB>
  <DomainObject.Predmet.OstaliListFormated>
    <izvorni_sadrzaj>
      <item>Marija Budimir</item>
    </izvorni_sadrzaj>
    <derivirana_varijabla naziv="DomainObject.Predmet.OstaliListFormated_1">
      <item>Marija Budimir</item>
    </derivirana_varijabla>
  </DomainObject.Predmet.OstaliListFormated>
  <DomainObject.Predmet.OstaliListFormatedOIB>
    <izvorni_sadrzaj>
      <item>Marija Budimir, OIB 36425941166</item>
    </izvorni_sadrzaj>
    <derivirana_varijabla naziv="DomainObject.Predmet.OstaliListFormatedOIB_1">
      <item>Marija Budimir, OIB 36425941166</item>
    </derivirana_varijabla>
  </DomainObject.Predmet.OstaliListFormatedOIB>
  <DomainObject.Predmet.OstaliListFormatedWithAdress>
    <izvorni_sadrzaj>
      <item>Marija Budimir, Rovinjska ulica 9, 52100 Pula</item>
    </izvorni_sadrzaj>
    <derivirana_varijabla naziv="DomainObject.Predmet.OstaliListFormatedWithAdress_1">
      <item>Marija Budimir, Rovinjska ulica 9, 52100 Pula</item>
    </derivirana_varijabla>
  </DomainObject.Predmet.OstaliListFormatedWithAdress>
  <DomainObject.Predmet.OstaliListFormatedWithAdressOIB>
    <izvorni_sadrzaj>
      <item>Marija Budimir, OIB 36425941166, Rovinjska ulica 9, 52100 Pula</item>
    </izvorni_sadrzaj>
    <derivirana_varijabla naziv="DomainObject.Predmet.OstaliListFormatedWithAdressOIB_1">
      <item>Marija Budimir, OIB 36425941166, Rovinjska ulica 9, 52100 Pula</item>
    </derivirana_varijabla>
  </DomainObject.Predmet.OstaliListFormatedWithAdressOIB>
  <DomainObject.Predmet.OstaliListNazivFormated>
    <izvorni_sadrzaj>
      <item>Marija Budimir</item>
    </izvorni_sadrzaj>
    <derivirana_varijabla naziv="DomainObject.Predmet.OstaliListNazivFormated_1">
      <item>Marija Budimir</item>
    </derivirana_varijabla>
  </DomainObject.Predmet.OstaliListNazivFormated>
  <DomainObject.Predmet.OstaliListNazivFormatedOIB>
    <izvorni_sadrzaj>
      <item>Marija Budimir, OIB 36425941166</item>
    </izvorni_sadrzaj>
    <derivirana_varijabla naziv="DomainObject.Predmet.OstaliListNazivFormatedOIB_1">
      <item>Marija Budimir, OIB 36425941166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srpnja 2025.</izvorni_sadrzaj>
    <derivirana_varijabla naziv="DomainObject.Datum_1">1. srpnja 2025.</derivirana_varijabla>
  </DomainObject.Datum>
  <DomainObject.PoslovniBrojDokumenta>
    <izvorni_sadrzaj>St-29/2024-84</izvorni_sadrzaj>
    <derivirana_varijabla naziv="DomainObject.PoslovniBrojDokumenta_1">St-29/2024-84</derivirana_varijabla>
  </DomainObject.PoslovniBrojDokumenta>
  <DomainObject.Predmet.StrankaIDrugi>
    <izvorni_sadrzaj>Financijska agencija, Podružnica Pula, PULA i dr.</izvorni_sadrzaj>
    <derivirana_varijabla naziv="DomainObject.Predmet.StrankaIDrugi_1">Financijska agencija, Podružnica Pula, PULA i dr.</derivirana_varijabla>
  </DomainObject.Predmet.StrankaIDrugi>
  <DomainObject.Predmet.ProtustrankaIDrugi>
    <izvorni_sadrzaj>Stečajna masa iza APEX NAVIS d.o.o. savjetovanje u pomorstvu i brodogradnji, turistička agencija u stečaju</izvorni_sadrzaj>
    <derivirana_varijabla naziv="DomainObject.Predmet.ProtustrankaIDrugi_1">Stečajna masa iza APEX NAVIS d.o.o. savjetovanje u pomorstvu i brodogradnji, turistička agencija u stečaju</derivirana_varijabla>
  </DomainObject.Predmet.ProtustrankaIDrugi>
  <DomainObject.Predmet.StrankaIDrugiAdressOIB>
    <izvorni_sadrzaj>Financijska agencija, Podružnica Pula, PULA, OIB 85821130368, GIARDINI 5, 52100 Pula i dr.</izvorni_sadrzaj>
    <derivirana_varijabla naziv="DomainObject.Predmet.StrankaIDrugiAdressOIB_1">Financijska agencija, Podružnica Pula, PULA, OIB 85821130368, GIARDINI 5, 52100 Pula i dr.</derivirana_varijabla>
  </DomainObject.Predmet.StrankaIDrugiAdressOIB>
  <DomainObject.Predmet.ProtustrankaIDrugiAdressOIB>
    <izvorni_sadrzaj>Stečajna masa iza APEX NAVIS d.o.o. savjetovanje u pomorstvu i brodogradnji, turistička agencija u stečaju, OIB 25665183089, Lupoglavska ulica 3, 10000 Zagreb</izvorni_sadrzaj>
    <derivirana_varijabla naziv="DomainObject.Predmet.ProtustrankaIDrugiAdressOIB_1">Stečajna masa iza APEX NAVIS d.o.o. savjetovanje u pomorstvu i brodogradnji, turistička agencija u stečaju, OIB 25665183089, Lupoglavska ulica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APEX NAVIS d.o.o. savjetovanje u pomorstvu i brodogradnji, turistička agencija u stečaju</item>
      <item>Financijska agencija, Podružnica Pula, PULA</item>
      <item>FLACH TOURS d.o.o. turistička agencija i poslovanje nekretninama</item>
      <item>Marija Budimir</item>
      <item>APEX NAVIS d.o.o. savjetovanje u pomorstvu i brodogradnji, turistička agencija u stečaju</item>
      <item>Ministarstvo mora, prometa i infrastrukture</item>
      <item>MORGAN CARGO j.d.o.o. za prijevoz i usluge</item>
    </izvorni_sadrzaj>
    <derivirana_varijabla naziv="DomainObject.Predmet.SudioniciListNaziv_1">
      <item>Stečajna masa iza APEX NAVIS d.o.o. savjetovanje u pomorstvu i brodogradnji, turistička agencija u stečaju</item>
      <item>Financijska agencija, Podružnica Pula, PULA</item>
      <item>FLACH TOURS d.o.o. turistička agencija i poslovanje nekretninama</item>
      <item>Marija Budimir</item>
      <item>APEX NAVIS d.o.o. savjetovanje u pomorstvu i brodogradnji, turistička agencija u stečaju</item>
      <item>Ministarstvo mora, prometa i infrastrukture</item>
      <item>MORGAN CARGO j.d.o.o. za prijevoz i usluge</item>
    </derivirana_varijabla>
  </DomainObject.Predmet.SudioniciListNaziv>
  <DomainObject.Predmet.SudioniciListAdressOIB>
    <izvorni_sadrzaj>
      <item>Stečajna masa iza APEX NAVIS d.o.o. savjetovanje u pomorstvu i brodogradnji, turistička agencija u stečaju, OIB 25665183089, Lupoglavska ulica 3,10000 Zagreb</item>
      <item>Financijska agencija, Podružnica Pula, PULA, OIB 85821130368, GIARDINI 5,52100 Pula</item>
      <item>FLACH TOURS d.o.o. turistička agencija i poslovanje nekretninama, OIB 10947185249, Osipovica 18,52100 Medulin</item>
      <item>Marija Budimir, OIB 36425941166, Rovinjska ulica 9,52100 Pula</item>
      <item>APEX NAVIS d.o.o. savjetovanje u pomorstvu i brodogradnji, turistička agencija u stečaju, OIB 30244289973, Osipovica 18,52100 Medulin</item>
      <item>Ministarstvo mora, prometa i infrastrukture, OIB 22874515170, Prisavlje 14,10000 Zagreb</item>
      <item>MORGAN CARGO j.d.o.o. za prijevoz i usluge, OIB 96365500785, Pomer 154,52100 Pomer</item>
    </izvorni_sadrzaj>
    <derivirana_varijabla naziv="DomainObject.Predmet.SudioniciListAdressOIB_1">
      <item>Stečajna masa iza APEX NAVIS d.o.o. savjetovanje u pomorstvu i brodogradnji, turistička agencija u stečaju, OIB 25665183089, Lupoglavska ulica 3,10000 Zagreb</item>
      <item>Financijska agencija, Podružnica Pula, PULA, OIB 85821130368, GIARDINI 5,52100 Pula</item>
      <item>FLACH TOURS d.o.o. turistička agencija i poslovanje nekretninama, OIB 10947185249, Osipovica 18,52100 Medulin</item>
      <item>Marija Budimir, OIB 36425941166, Rovinjska ulica 9,52100 Pula</item>
      <item>APEX NAVIS d.o.o. savjetovanje u pomorstvu i brodogradnji, turistička agencija u stečaju, OIB 30244289973, Osipovica 18,52100 Medulin</item>
      <item>Ministarstvo mora, prometa i infrastrukture, OIB 22874515170, Prisavlje 14,10000 Zagreb</item>
      <item>MORGAN CARGO j.d.o.o. za prijevoz i usluge, OIB 96365500785, Pomer 154,52100 Pomer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25665183089</item>
      <item>, OIB 85821130368</item>
      <item>, OIB 10947185249</item>
      <item>, OIB 36425941166</item>
      <item>, OIB 30244289973</item>
      <item>, OIB 22874515170</item>
      <item>, OIB 96365500785</item>
    </izvorni_sadrzaj>
    <derivirana_varijabla naziv="DomainObject.Predmet.SudioniciListNazivOIB_1">
      <item>, OIB 25665183089</item>
      <item>, OIB 85821130368</item>
      <item>, OIB 10947185249</item>
      <item>, OIB 36425941166</item>
      <item>, OIB 30244289973</item>
      <item>, OIB 22874515170</item>
      <item>, OIB 96365500785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 Jakovac, OIB 88526658647, Nehruov trg 6, 10000 Zagreb</item>
    </izvorni_sadrzaj>
    <derivirana_varijabla naziv="DomainObject.Predmet.StecajniUpraviteljiListAddressOIB_1">
      <item>Valentin Jakovac, OIB 88526658647, Nehruov trg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prosinca 2023.</izvorni_sadrzaj>
    <derivirana_varijabla naziv="DomainObject.Predmet.DatumPocetkaProcesa_1">30. prosinca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2</properties:Pages>
  <properties:Words>306</properties:Words>
  <properties:Characters>1713</properties:Characters>
  <properties:Lines>87</properties:Lines>
  <properties:Paragraphs>28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2025-06-02T08:37:00Z</dcterms:created>
  <dc:creator>Jasmina Matika</dc:creator>
  <dc:description/>
  <cp:keywords/>
  <cp:lastModifiedBy>Jasmina Matika</cp:lastModifiedBy>
  <cp:lastPrinted>2025-07-01T08:07:00Z</cp:lastPrinted>
  <dcterms:modified xmlns:xsi="http://www.w3.org/2001/XMLSchema-instance" xsi:type="dcterms:W3CDTF">2025-07-01T08:11:00Z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St-29/2024-84 / Zapisnik - Ročište za diobu kupovnine (St-29-24 - ZAPISNIK - ROČIŠTE ZA DIOBU KUPOVNINE - 1-7-25.docx)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